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9B" w:rsidRDefault="004C42A9">
      <w:pPr>
        <w:jc w:val="right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Приложение № 2 </w:t>
      </w:r>
    </w:p>
    <w:p w:rsidR="00E1429B" w:rsidRDefault="004C42A9">
      <w:pPr>
        <w:jc w:val="right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к Документации о закупке </w:t>
      </w:r>
    </w:p>
    <w:p w:rsidR="00E1429B" w:rsidRDefault="00E1429B"/>
    <w:p w:rsidR="00E1429B" w:rsidRDefault="00E1429B">
      <w:pPr>
        <w:widowControl w:val="0"/>
        <w:jc w:val="center"/>
        <w:outlineLvl w:val="0"/>
        <w:rPr>
          <w:rFonts w:ascii="Proxima Nova ExCn Rg" w:hAnsi="Proxima Nova ExCn Rg"/>
          <w:b/>
          <w:sz w:val="28"/>
          <w:szCs w:val="28"/>
        </w:rPr>
      </w:pPr>
    </w:p>
    <w:p w:rsidR="00E1429B" w:rsidRPr="00697F55" w:rsidRDefault="004C42A9">
      <w:pPr>
        <w:jc w:val="center"/>
        <w:rPr>
          <w:rFonts w:ascii="Proxima Nova ExCn Rg" w:hAnsi="Proxima Nova ExCn Rg"/>
          <w:b/>
          <w:sz w:val="28"/>
          <w:szCs w:val="28"/>
        </w:rPr>
      </w:pPr>
      <w:r w:rsidRPr="00697F55">
        <w:rPr>
          <w:rFonts w:ascii="Proxima Nova ExCn Rg" w:hAnsi="Proxima Nova ExCn Rg"/>
          <w:b/>
          <w:sz w:val="28"/>
          <w:szCs w:val="28"/>
        </w:rPr>
        <w:t>ТРЕБОВАНИЯ К ПОСТАВЛЯЕМОЙ ПРОДУКЦИИ.</w:t>
      </w:r>
    </w:p>
    <w:p w:rsidR="00697F55" w:rsidRDefault="00697F55">
      <w:pPr>
        <w:shd w:val="clear" w:color="auto" w:fill="FFFFFF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                                                     </w:t>
      </w:r>
    </w:p>
    <w:p w:rsidR="00E1429B" w:rsidRPr="004C42A9" w:rsidRDefault="00697F55" w:rsidP="004C42A9">
      <w:pPr>
        <w:pStyle w:val="a9"/>
        <w:numPr>
          <w:ilvl w:val="0"/>
          <w:numId w:val="6"/>
        </w:numPr>
        <w:shd w:val="clear" w:color="auto" w:fill="FFFFFF"/>
        <w:rPr>
          <w:rFonts w:ascii="Proxima Nova ExCn Rg" w:hAnsi="Proxima Nova ExCn Rg"/>
          <w:b/>
          <w:sz w:val="28"/>
          <w:szCs w:val="28"/>
        </w:rPr>
      </w:pPr>
      <w:r w:rsidRPr="004C42A9">
        <w:rPr>
          <w:rFonts w:ascii="Proxima Nova ExCn Rg" w:hAnsi="Proxima Nova ExCn Rg"/>
          <w:b/>
          <w:sz w:val="28"/>
          <w:szCs w:val="28"/>
        </w:rPr>
        <w:t xml:space="preserve">Общие требования </w:t>
      </w:r>
      <w:r w:rsidRPr="004C42A9">
        <w:rPr>
          <w:rFonts w:ascii="Proxima Nova ExCn Rg" w:hAnsi="Proxima Nova ExCn Rg"/>
          <w:b/>
          <w:sz w:val="28"/>
          <w:szCs w:val="28"/>
        </w:rPr>
        <w:t>к поставляемому товару</w:t>
      </w:r>
    </w:p>
    <w:p w:rsidR="00697F55" w:rsidRPr="00697F55" w:rsidRDefault="00697F55" w:rsidP="004C42A9">
      <w:pPr>
        <w:pStyle w:val="a9"/>
        <w:numPr>
          <w:ilvl w:val="1"/>
          <w:numId w:val="10"/>
        </w:numPr>
        <w:spacing w:after="0" w:line="240" w:lineRule="auto"/>
        <w:ind w:left="0" w:right="221" w:firstLine="426"/>
        <w:contextualSpacing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Товар должен быть новым, не восстановленным, выпущенным не ранее 2015 года, должен иметь заводскую сборку и выпускаться серийно.</w:t>
      </w:r>
    </w:p>
    <w:p w:rsidR="00697F55" w:rsidRPr="00697F55" w:rsidRDefault="00697F55" w:rsidP="004C42A9">
      <w:pPr>
        <w:pStyle w:val="a9"/>
        <w:numPr>
          <w:ilvl w:val="1"/>
          <w:numId w:val="10"/>
        </w:numPr>
        <w:spacing w:after="0" w:line="240" w:lineRule="auto"/>
        <w:ind w:left="0" w:right="221" w:firstLine="426"/>
        <w:contextualSpacing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На коробке со сборочным комплектом содержится информация (нанесенная машинописным способом) с серийного номера и основные технические характеристики.</w:t>
      </w:r>
    </w:p>
    <w:p w:rsidR="00697F55" w:rsidRPr="00697F55" w:rsidRDefault="00697F55" w:rsidP="004C42A9">
      <w:pPr>
        <w:pStyle w:val="a9"/>
        <w:numPr>
          <w:ilvl w:val="1"/>
          <w:numId w:val="10"/>
        </w:numPr>
        <w:spacing w:after="0" w:line="240" w:lineRule="auto"/>
        <w:ind w:left="0" w:right="221" w:firstLine="426"/>
        <w:contextualSpacing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 xml:space="preserve">Внутри упаковки должны быть приложены инструкции по использованию, а также другая сопроводительная документация, которая должна включать в себя информацию о правилах эксплуатации, безопасности, условиях предоставления потребителю гарантии производителя. Сопроводительная документация не должна противоречить действующему законодательству. </w:t>
      </w:r>
    </w:p>
    <w:p w:rsidR="00697F55" w:rsidRPr="00697F55" w:rsidRDefault="00697F55" w:rsidP="004C42A9">
      <w:pPr>
        <w:pStyle w:val="a9"/>
        <w:numPr>
          <w:ilvl w:val="1"/>
          <w:numId w:val="10"/>
        </w:numPr>
        <w:spacing w:after="0" w:line="240" w:lineRule="auto"/>
        <w:ind w:left="0" w:right="221" w:firstLine="426"/>
        <w:contextualSpacing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В комплект поставки должны быть включены все непоименованные в спецификации необходимые для работы оборудования интерфейсные шнуры, соединительные кабели, носители с драйверами, периферийные устройства, обеспечивающие подключение указанного количества накопителей информации.</w:t>
      </w:r>
    </w:p>
    <w:p w:rsidR="00697F55" w:rsidRPr="00697F55" w:rsidRDefault="00697F55" w:rsidP="004C42A9">
      <w:pPr>
        <w:pStyle w:val="a9"/>
        <w:numPr>
          <w:ilvl w:val="1"/>
          <w:numId w:val="10"/>
        </w:numPr>
        <w:spacing w:after="0" w:line="240" w:lineRule="auto"/>
        <w:ind w:left="0" w:right="221" w:firstLine="426"/>
        <w:contextualSpacing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Поставщик несет ответственность за все потери и или повреждения, вызванные неправильной упаковкой либо маркировкой расходных материалов.</w:t>
      </w:r>
    </w:p>
    <w:p w:rsidR="00697F55" w:rsidRPr="00697F55" w:rsidRDefault="00697F55" w:rsidP="004C42A9">
      <w:pPr>
        <w:pStyle w:val="a9"/>
        <w:numPr>
          <w:ilvl w:val="1"/>
          <w:numId w:val="10"/>
        </w:numPr>
        <w:spacing w:after="0" w:line="240" w:lineRule="auto"/>
        <w:ind w:left="0" w:right="221" w:firstLine="426"/>
        <w:contextualSpacing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 xml:space="preserve">На каждый сборочный комплект должен быть оформлен отдельный гарантийный талон. Гарантийный талон должен быть выполнен на фирменном бланке завода изготовителя, заверен печатью завода изготовителя, а также печатью Поставщика. Гарантийный талон содержит дату производства системного блока, а также дату его фактической передачи Заказчику. Гарантия на поставляемый Товар </w:t>
      </w:r>
      <w:proofErr w:type="gramStart"/>
      <w:r w:rsidRPr="00697F55">
        <w:rPr>
          <w:rFonts w:ascii="Proxima Nova ExCn Rg" w:eastAsia="Times New Roman" w:hAnsi="Proxima Nova ExCn Rg"/>
          <w:sz w:val="28"/>
          <w:szCs w:val="28"/>
        </w:rPr>
        <w:t>–н</w:t>
      </w:r>
      <w:proofErr w:type="gramEnd"/>
      <w:r w:rsidRPr="00697F55">
        <w:rPr>
          <w:rFonts w:ascii="Proxima Nova ExCn Rg" w:eastAsia="Times New Roman" w:hAnsi="Proxima Nova ExCn Rg"/>
          <w:sz w:val="28"/>
          <w:szCs w:val="28"/>
        </w:rPr>
        <w:t>е менее 24 месяцев.</w:t>
      </w:r>
    </w:p>
    <w:p w:rsidR="00697F55" w:rsidRPr="00697F55" w:rsidRDefault="00697F55" w:rsidP="004C42A9">
      <w:pPr>
        <w:pStyle w:val="a9"/>
        <w:numPr>
          <w:ilvl w:val="1"/>
          <w:numId w:val="10"/>
        </w:numPr>
        <w:spacing w:after="0" w:line="240" w:lineRule="auto"/>
        <w:ind w:left="0" w:right="221" w:firstLine="426"/>
        <w:contextualSpacing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Каждое устройство, входящее в комплект, должно быть протестировано на совместимость с оборудованием архитектуры Эльбрус-4С и ОС «Эльбрус» и иметь подтверждающие документы.</w:t>
      </w:r>
    </w:p>
    <w:p w:rsidR="00697F55" w:rsidRDefault="00697F55">
      <w:pPr>
        <w:spacing w:line="276" w:lineRule="auto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br w:type="page"/>
      </w:r>
    </w:p>
    <w:p w:rsidR="00697F55" w:rsidRPr="00697F55" w:rsidRDefault="00697F55">
      <w:pPr>
        <w:shd w:val="clear" w:color="auto" w:fill="FFFFFF"/>
        <w:jc w:val="both"/>
        <w:rPr>
          <w:rFonts w:ascii="Proxima Nova ExCn Rg" w:hAnsi="Proxima Nova ExCn Rg"/>
          <w:sz w:val="28"/>
          <w:szCs w:val="28"/>
        </w:rPr>
      </w:pPr>
    </w:p>
    <w:p w:rsidR="00E1429B" w:rsidRPr="00697F55" w:rsidRDefault="004C42A9" w:rsidP="004C42A9">
      <w:pPr>
        <w:jc w:val="center"/>
        <w:rPr>
          <w:rFonts w:ascii="Proxima Nova ExCn Rg" w:hAnsi="Proxima Nova ExCn Rg"/>
          <w:b/>
          <w:sz w:val="28"/>
          <w:szCs w:val="28"/>
        </w:rPr>
      </w:pPr>
      <w:r w:rsidRPr="00697F55">
        <w:rPr>
          <w:rFonts w:ascii="Proxima Nova ExCn Rg" w:hAnsi="Proxima Nova ExCn Rg"/>
          <w:b/>
          <w:sz w:val="28"/>
          <w:szCs w:val="28"/>
        </w:rPr>
        <w:t>Лот №1</w:t>
      </w:r>
      <w:r w:rsidR="00697F55" w:rsidRPr="00697F55">
        <w:rPr>
          <w:rFonts w:ascii="Proxima Nova ExCn Rg" w:hAnsi="Proxima Nova ExCn Rg"/>
          <w:b/>
          <w:sz w:val="28"/>
          <w:szCs w:val="28"/>
        </w:rPr>
        <w:t>:  Поставка сборочного комплекта сервера баз данных</w:t>
      </w:r>
    </w:p>
    <w:p w:rsidR="00E1429B" w:rsidRPr="00697F55" w:rsidRDefault="00E1429B">
      <w:pPr>
        <w:rPr>
          <w:rFonts w:ascii="Proxima Nova ExCn Rg" w:hAnsi="Proxima Nova ExCn Rg"/>
          <w:sz w:val="28"/>
          <w:szCs w:val="28"/>
        </w:rPr>
      </w:pPr>
    </w:p>
    <w:p w:rsidR="00E1429B" w:rsidRPr="00697F55" w:rsidRDefault="004C42A9">
      <w:pPr>
        <w:pStyle w:val="a9"/>
        <w:numPr>
          <w:ilvl w:val="0"/>
          <w:numId w:val="2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Количественные требования к поставляемому товару.</w:t>
      </w:r>
    </w:p>
    <w:p w:rsidR="00E1429B" w:rsidRPr="00697F55" w:rsidRDefault="004C42A9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Сборочные комплекты сервера баз данных в количестве 4 штуки.</w:t>
      </w:r>
    </w:p>
    <w:p w:rsidR="00E1429B" w:rsidRPr="00697F55" w:rsidRDefault="00E1429B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p w:rsidR="00E1429B" w:rsidRPr="00697F55" w:rsidRDefault="004C42A9">
      <w:pPr>
        <w:pStyle w:val="a9"/>
        <w:numPr>
          <w:ilvl w:val="0"/>
          <w:numId w:val="2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 xml:space="preserve">Технические характеристики </w:t>
      </w:r>
      <w:r w:rsidRPr="00697F55">
        <w:rPr>
          <w:rFonts w:ascii="Proxima Nova ExCn Rg" w:eastAsia="Times New Roman" w:hAnsi="Proxima Nova ExCn Rg"/>
          <w:sz w:val="28"/>
          <w:szCs w:val="28"/>
        </w:rPr>
        <w:t>поставляемого товара.</w:t>
      </w:r>
    </w:p>
    <w:p w:rsidR="00E1429B" w:rsidRDefault="004C42A9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Каждый сборочный комплект сервера баз данных должен отвечать следующим техническим характеристикам:</w:t>
      </w:r>
    </w:p>
    <w:p w:rsidR="00697F55" w:rsidRPr="00697F55" w:rsidRDefault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tbl>
      <w:tblPr>
        <w:tblW w:w="8816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671"/>
        <w:gridCol w:w="3145"/>
      </w:tblGrid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b/>
                <w:sz w:val="28"/>
                <w:szCs w:val="28"/>
              </w:rPr>
              <w:t>Значение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Память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E1429B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Общий объем,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192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Стандарт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DDR3 </w:t>
            </w:r>
            <w:proofErr w:type="spellStart"/>
            <w:r w:rsidRPr="00697F55">
              <w:rPr>
                <w:rFonts w:ascii="Proxima Nova ExCn Rg" w:hAnsi="Proxima Nova ExCn Rg"/>
                <w:sz w:val="28"/>
                <w:szCs w:val="28"/>
              </w:rPr>
              <w:t>Reg</w:t>
            </w:r>
            <w:proofErr w:type="spell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Твердотельный накопитель,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Объемом, каждый,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1200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Интерфейс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SATA 6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Твердотельный накопитель для системной информации,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Объемом,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110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Интерфейс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SATA 6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Дисковый контроллер с поддержкой 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RAID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Модуль защиты кэш-памяти,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Сетевые интерфейсы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E1429B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Сетевой адаптер,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Скорость передачи данных,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  <w:r w:rsidRPr="00697F55">
              <w:rPr>
                <w:rFonts w:ascii="Proxima Nova ExCn Rg" w:hAnsi="Proxima Nova ExCn Rg"/>
                <w:sz w:val="28"/>
                <w:szCs w:val="28"/>
              </w:rPr>
              <w:t>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10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Количество 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SFP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+ портов,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proofErr w:type="spellStart"/>
            <w:r w:rsidRPr="00697F55">
              <w:rPr>
                <w:rFonts w:ascii="Proxima Nova ExCn Rg" w:hAnsi="Proxima Nova ExCn Rg"/>
                <w:sz w:val="28"/>
                <w:szCs w:val="28"/>
              </w:rPr>
              <w:t>Многомодовый</w:t>
            </w:r>
            <w:proofErr w:type="spellEnd"/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 оптический трансивер,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 w:rsidP="00697F55">
            <w:pPr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697F55" w:rsidRDefault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</w:p>
    <w:p w:rsidR="00697F55" w:rsidRDefault="00697F55">
      <w:pPr>
        <w:spacing w:line="276" w:lineRule="auto"/>
        <w:rPr>
          <w:rFonts w:ascii="Proxima Nova ExCn Rg" w:hAnsi="Proxima Nova ExCn Rg"/>
          <w:b/>
          <w:sz w:val="28"/>
          <w:szCs w:val="28"/>
        </w:rPr>
      </w:pPr>
      <w:r>
        <w:rPr>
          <w:rFonts w:ascii="Proxima Nova ExCn Rg" w:hAnsi="Proxima Nova ExCn Rg"/>
          <w:b/>
          <w:sz w:val="28"/>
          <w:szCs w:val="28"/>
        </w:rPr>
        <w:br w:type="page"/>
      </w:r>
    </w:p>
    <w:p w:rsidR="00E1429B" w:rsidRPr="00697F55" w:rsidRDefault="00E1429B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</w:p>
    <w:p w:rsidR="00697F55" w:rsidRDefault="004C42A9" w:rsidP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  <w:r w:rsidRPr="00697F55">
        <w:rPr>
          <w:rFonts w:ascii="Proxima Nova ExCn Rg" w:eastAsia="Times New Roman" w:hAnsi="Proxima Nova ExCn Rg"/>
          <w:b/>
          <w:sz w:val="28"/>
          <w:szCs w:val="28"/>
        </w:rPr>
        <w:t>Лот №2</w:t>
      </w:r>
      <w:r w:rsidR="00697F55" w:rsidRPr="00697F55">
        <w:rPr>
          <w:rFonts w:ascii="Proxima Nova ExCn Rg" w:eastAsia="Times New Roman" w:hAnsi="Proxima Nova ExCn Rg"/>
          <w:b/>
          <w:sz w:val="28"/>
          <w:szCs w:val="28"/>
        </w:rPr>
        <w:t xml:space="preserve"> Поставка сборочного комплекта сервера хранения</w:t>
      </w:r>
    </w:p>
    <w:p w:rsidR="00697F55" w:rsidRDefault="00697F55" w:rsidP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p w:rsidR="00E1429B" w:rsidRPr="00697F55" w:rsidRDefault="004C42A9">
      <w:pPr>
        <w:pStyle w:val="a9"/>
        <w:numPr>
          <w:ilvl w:val="0"/>
          <w:numId w:val="3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  <w:r w:rsidRPr="00697F55">
        <w:rPr>
          <w:rFonts w:ascii="Proxima Nova ExCn Rg" w:eastAsia="Times New Roman" w:hAnsi="Proxima Nova ExCn Rg"/>
          <w:b/>
          <w:sz w:val="28"/>
          <w:szCs w:val="28"/>
        </w:rPr>
        <w:t xml:space="preserve">Количественные требования к поставляемому </w:t>
      </w:r>
      <w:r w:rsidRPr="00697F55">
        <w:rPr>
          <w:rFonts w:ascii="Proxima Nova ExCn Rg" w:eastAsia="Times New Roman" w:hAnsi="Proxima Nova ExCn Rg"/>
          <w:b/>
          <w:sz w:val="28"/>
          <w:szCs w:val="28"/>
        </w:rPr>
        <w:t>товару.</w:t>
      </w:r>
    </w:p>
    <w:p w:rsidR="00E1429B" w:rsidRPr="00697F55" w:rsidRDefault="004C42A9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Сборочные комплекты сервера хранения в количестве 9 штуки.</w:t>
      </w:r>
    </w:p>
    <w:p w:rsidR="00E1429B" w:rsidRPr="00697F55" w:rsidRDefault="00E1429B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p w:rsidR="00E1429B" w:rsidRPr="00697F55" w:rsidRDefault="004C42A9">
      <w:pPr>
        <w:pStyle w:val="a9"/>
        <w:numPr>
          <w:ilvl w:val="0"/>
          <w:numId w:val="3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  <w:r w:rsidRPr="00697F55">
        <w:rPr>
          <w:rFonts w:ascii="Proxima Nova ExCn Rg" w:eastAsia="Times New Roman" w:hAnsi="Proxima Nova ExCn Rg"/>
          <w:b/>
          <w:sz w:val="28"/>
          <w:szCs w:val="28"/>
        </w:rPr>
        <w:t>Технические характеристики поставляемого товара.</w:t>
      </w:r>
    </w:p>
    <w:p w:rsidR="00E1429B" w:rsidRDefault="004C42A9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Каждый сборочный комплект сервера хранения должен отвечать следующим техническим характеристикам:</w:t>
      </w:r>
    </w:p>
    <w:p w:rsidR="00697F55" w:rsidRPr="00697F55" w:rsidRDefault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tbl>
      <w:tblPr>
        <w:tblW w:w="8816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671"/>
        <w:gridCol w:w="3145"/>
      </w:tblGrid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Характеристика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Значение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Память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E1429B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Общий 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объем,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96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Стандарт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DDR3 </w:t>
            </w:r>
            <w:proofErr w:type="spellStart"/>
            <w:r w:rsidRPr="00697F55">
              <w:rPr>
                <w:rFonts w:ascii="Proxima Nova ExCn Rg" w:hAnsi="Proxima Nova ExCn Rg"/>
                <w:sz w:val="28"/>
                <w:szCs w:val="28"/>
              </w:rPr>
              <w:t>Reg</w:t>
            </w:r>
            <w:proofErr w:type="spell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Жесткий диск,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Объемом, каждый,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6000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Интерфейс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SA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S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12 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Жесткий диск,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Объемом,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2000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Интерфейс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SATA 6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Дисковый контроллер,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Сетевые интерфейсы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E1429B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Сетевой адаптер,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Скорость передачи данных,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  <w:r w:rsidRPr="00697F55">
              <w:rPr>
                <w:rFonts w:ascii="Proxima Nova ExCn Rg" w:hAnsi="Proxima Nova ExCn Rg"/>
                <w:sz w:val="28"/>
                <w:szCs w:val="28"/>
              </w:rPr>
              <w:t>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10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Количество 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SFP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+ портов,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proofErr w:type="spellStart"/>
            <w:r w:rsidRPr="00697F55">
              <w:rPr>
                <w:rFonts w:ascii="Proxima Nova ExCn Rg" w:hAnsi="Proxima Nova ExCn Rg"/>
                <w:sz w:val="28"/>
                <w:szCs w:val="28"/>
              </w:rPr>
              <w:t>Многомодовый</w:t>
            </w:r>
            <w:proofErr w:type="spellEnd"/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 оптический трансивер,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697F55" w:rsidRDefault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p w:rsidR="00697F55" w:rsidRDefault="00697F55">
      <w:pPr>
        <w:spacing w:line="276" w:lineRule="auto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br w:type="page"/>
      </w:r>
    </w:p>
    <w:p w:rsidR="00E1429B" w:rsidRPr="00697F55" w:rsidRDefault="004C42A9" w:rsidP="004C42A9">
      <w:pPr>
        <w:pStyle w:val="a9"/>
        <w:spacing w:after="0" w:line="240" w:lineRule="auto"/>
        <w:ind w:left="785" w:right="221"/>
        <w:jc w:val="center"/>
        <w:rPr>
          <w:rFonts w:ascii="Proxima Nova ExCn Rg" w:eastAsia="Times New Roman" w:hAnsi="Proxima Nova ExCn Rg"/>
          <w:b/>
          <w:sz w:val="28"/>
          <w:szCs w:val="28"/>
        </w:rPr>
      </w:pPr>
      <w:r w:rsidRPr="00697F55">
        <w:rPr>
          <w:rFonts w:ascii="Proxima Nova ExCn Rg" w:eastAsia="Times New Roman" w:hAnsi="Proxima Nova ExCn Rg"/>
          <w:b/>
          <w:sz w:val="28"/>
          <w:szCs w:val="28"/>
        </w:rPr>
        <w:lastRenderedPageBreak/>
        <w:t>Лот №3</w:t>
      </w:r>
      <w:r w:rsidR="00697F55" w:rsidRPr="00697F55">
        <w:rPr>
          <w:rFonts w:ascii="Proxima Nova ExCn Rg" w:eastAsia="Times New Roman" w:hAnsi="Proxima Nova ExCn Rg"/>
          <w:b/>
          <w:sz w:val="28"/>
          <w:szCs w:val="28"/>
        </w:rPr>
        <w:t xml:space="preserve"> Поставка сервера пр</w:t>
      </w:r>
      <w:bookmarkStart w:id="0" w:name="_GoBack"/>
      <w:bookmarkEnd w:id="0"/>
      <w:r w:rsidR="00697F55" w:rsidRPr="00697F55">
        <w:rPr>
          <w:rFonts w:ascii="Proxima Nova ExCn Rg" w:eastAsia="Times New Roman" w:hAnsi="Proxima Nova ExCn Rg"/>
          <w:b/>
          <w:sz w:val="28"/>
          <w:szCs w:val="28"/>
        </w:rPr>
        <w:t>иложений</w:t>
      </w:r>
    </w:p>
    <w:p w:rsidR="00697F55" w:rsidRDefault="00697F55" w:rsidP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p w:rsidR="00E1429B" w:rsidRPr="00697F55" w:rsidRDefault="004C42A9">
      <w:pPr>
        <w:pStyle w:val="a9"/>
        <w:numPr>
          <w:ilvl w:val="0"/>
          <w:numId w:val="4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  <w:r w:rsidRPr="00697F55">
        <w:rPr>
          <w:rFonts w:ascii="Proxima Nova ExCn Rg" w:eastAsia="Times New Roman" w:hAnsi="Proxima Nova ExCn Rg"/>
          <w:b/>
          <w:sz w:val="28"/>
          <w:szCs w:val="28"/>
        </w:rPr>
        <w:t>Количественные требования к поставляемому товару.</w:t>
      </w:r>
    </w:p>
    <w:p w:rsidR="00E1429B" w:rsidRPr="00697F55" w:rsidRDefault="004C42A9" w:rsidP="00697F55">
      <w:pPr>
        <w:pStyle w:val="a9"/>
        <w:numPr>
          <w:ilvl w:val="1"/>
          <w:numId w:val="7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Сборочные</w:t>
      </w:r>
      <w:r w:rsidRPr="00697F55">
        <w:rPr>
          <w:rFonts w:ascii="Proxima Nova ExCn Rg" w:eastAsia="Times New Roman" w:hAnsi="Proxima Nova ExCn Rg"/>
          <w:sz w:val="28"/>
          <w:szCs w:val="28"/>
        </w:rPr>
        <w:t xml:space="preserve"> комплекты для сервера приложений в количестве 7 штук.</w:t>
      </w:r>
    </w:p>
    <w:p w:rsidR="00E1429B" w:rsidRPr="00697F55" w:rsidRDefault="004C42A9" w:rsidP="00697F55">
      <w:pPr>
        <w:pStyle w:val="a9"/>
        <w:numPr>
          <w:ilvl w:val="1"/>
          <w:numId w:val="7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Сборочные комплекты для технологического сервера в количестве 3 штуки.</w:t>
      </w:r>
    </w:p>
    <w:p w:rsidR="00E1429B" w:rsidRPr="00697F55" w:rsidRDefault="00E1429B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p w:rsidR="00E1429B" w:rsidRDefault="004C42A9">
      <w:pPr>
        <w:pStyle w:val="a9"/>
        <w:numPr>
          <w:ilvl w:val="0"/>
          <w:numId w:val="4"/>
        </w:numPr>
        <w:spacing w:after="0" w:line="240" w:lineRule="auto"/>
        <w:ind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  <w:r w:rsidRPr="00697F55">
        <w:rPr>
          <w:rFonts w:ascii="Proxima Nova ExCn Rg" w:eastAsia="Times New Roman" w:hAnsi="Proxima Nova ExCn Rg"/>
          <w:b/>
          <w:sz w:val="28"/>
          <w:szCs w:val="28"/>
        </w:rPr>
        <w:t>Технические характеристики поставляемого товара.</w:t>
      </w:r>
    </w:p>
    <w:p w:rsidR="00697F55" w:rsidRPr="00697F55" w:rsidRDefault="00697F55" w:rsidP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b/>
          <w:sz w:val="28"/>
          <w:szCs w:val="28"/>
        </w:rPr>
      </w:pPr>
    </w:p>
    <w:p w:rsidR="00E1429B" w:rsidRDefault="004C42A9" w:rsidP="00697F55">
      <w:pPr>
        <w:pStyle w:val="a9"/>
        <w:numPr>
          <w:ilvl w:val="1"/>
          <w:numId w:val="8"/>
        </w:numPr>
        <w:spacing w:after="0" w:line="240" w:lineRule="auto"/>
        <w:ind w:left="1560" w:right="221" w:hanging="709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Каждый сборочный комплект для сервера приложений должен отвечать следующим техни</w:t>
      </w:r>
      <w:r w:rsidRPr="00697F55">
        <w:rPr>
          <w:rFonts w:ascii="Proxima Nova ExCn Rg" w:eastAsia="Times New Roman" w:hAnsi="Proxima Nova ExCn Rg"/>
          <w:sz w:val="28"/>
          <w:szCs w:val="28"/>
        </w:rPr>
        <w:t>ческим характеристикам:</w:t>
      </w:r>
    </w:p>
    <w:p w:rsidR="00697F55" w:rsidRPr="00697F55" w:rsidRDefault="00697F55" w:rsidP="00697F55">
      <w:pPr>
        <w:pStyle w:val="a9"/>
        <w:spacing w:after="0" w:line="240" w:lineRule="auto"/>
        <w:ind w:left="1560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tbl>
      <w:tblPr>
        <w:tblW w:w="8816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671"/>
        <w:gridCol w:w="3145"/>
      </w:tblGrid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Характеристика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Значение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Память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E1429B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Общий объем,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192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Стандарт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DDR3 </w:t>
            </w:r>
            <w:proofErr w:type="spellStart"/>
            <w:r w:rsidRPr="00697F55">
              <w:rPr>
                <w:rFonts w:ascii="Proxima Nova ExCn Rg" w:hAnsi="Proxima Nova ExCn Rg"/>
                <w:sz w:val="28"/>
                <w:szCs w:val="28"/>
              </w:rPr>
              <w:t>Reg</w:t>
            </w:r>
            <w:proofErr w:type="spell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Жесткий диск,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Объемом, каждый,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2000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Интерфейс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SATA 6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Сетевые интерфейсы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E1429B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Сетевой адаптер,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Скорость передачи данных,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  <w:r w:rsidRPr="00697F55">
              <w:rPr>
                <w:rFonts w:ascii="Proxima Nova ExCn Rg" w:hAnsi="Proxima Nova ExCn Rg"/>
                <w:sz w:val="28"/>
                <w:szCs w:val="28"/>
              </w:rPr>
              <w:t>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10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Количество 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SFP</w:t>
            </w:r>
            <w:r w:rsidRPr="00697F55">
              <w:rPr>
                <w:rFonts w:ascii="Proxima Nova ExCn Rg" w:hAnsi="Proxima Nova ExCn Rg"/>
                <w:sz w:val="28"/>
                <w:szCs w:val="28"/>
              </w:rPr>
              <w:t>+ портов,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proofErr w:type="spellStart"/>
            <w:r w:rsidRPr="00697F55">
              <w:rPr>
                <w:rFonts w:ascii="Proxima Nova ExCn Rg" w:hAnsi="Proxima Nova ExCn Rg"/>
                <w:sz w:val="28"/>
                <w:szCs w:val="28"/>
              </w:rPr>
              <w:t>Многомодовый</w:t>
            </w:r>
            <w:proofErr w:type="spellEnd"/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 оптический трансивер,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697F55" w:rsidRDefault="00697F55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p w:rsidR="00E1429B" w:rsidRDefault="004C42A9" w:rsidP="00697F55">
      <w:pPr>
        <w:pStyle w:val="a9"/>
        <w:numPr>
          <w:ilvl w:val="1"/>
          <w:numId w:val="8"/>
        </w:numPr>
        <w:spacing w:after="0" w:line="240" w:lineRule="auto"/>
        <w:ind w:left="1560" w:right="221" w:hanging="709"/>
        <w:jc w:val="both"/>
        <w:rPr>
          <w:rFonts w:ascii="Proxima Nova ExCn Rg" w:eastAsia="Times New Roman" w:hAnsi="Proxima Nova ExCn Rg"/>
          <w:sz w:val="28"/>
          <w:szCs w:val="28"/>
        </w:rPr>
      </w:pPr>
      <w:r w:rsidRPr="00697F55">
        <w:rPr>
          <w:rFonts w:ascii="Proxima Nova ExCn Rg" w:eastAsia="Times New Roman" w:hAnsi="Proxima Nova ExCn Rg"/>
          <w:sz w:val="28"/>
          <w:szCs w:val="28"/>
        </w:rPr>
        <w:t>Каждый сборочный комплект для технологического сервера должен отвечать следующим техническим характеристикам:</w:t>
      </w:r>
    </w:p>
    <w:p w:rsidR="00697F55" w:rsidRPr="00697F55" w:rsidRDefault="00697F55" w:rsidP="00697F55">
      <w:pPr>
        <w:pStyle w:val="a9"/>
        <w:spacing w:after="0" w:line="240" w:lineRule="auto"/>
        <w:ind w:left="1560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tbl>
      <w:tblPr>
        <w:tblW w:w="8816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671"/>
        <w:gridCol w:w="3145"/>
      </w:tblGrid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Характеристика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Значение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Память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E1429B">
            <w:pPr>
              <w:ind w:firstLine="709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Жесткий диск, кол-во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Объемом, каждый, ГБ, не менее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2000 ГБ</w:t>
            </w:r>
          </w:p>
        </w:tc>
      </w:tr>
      <w:tr w:rsidR="00E1429B" w:rsidRPr="00697F55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Интерфейс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429B" w:rsidRPr="00697F55" w:rsidRDefault="004C42A9">
            <w:pPr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697F55">
              <w:rPr>
                <w:rFonts w:ascii="Proxima Nova ExCn Rg" w:hAnsi="Proxima Nova ExCn Rg"/>
                <w:sz w:val="28"/>
                <w:szCs w:val="28"/>
              </w:rPr>
              <w:t>SATA 6 Гб/</w:t>
            </w:r>
            <w:proofErr w:type="gramStart"/>
            <w:r w:rsidRPr="00697F55">
              <w:rPr>
                <w:rFonts w:ascii="Proxima Nova ExCn Rg" w:hAnsi="Proxima Nova ExCn Rg"/>
                <w:sz w:val="28"/>
                <w:szCs w:val="28"/>
              </w:rPr>
              <w:t>с</w:t>
            </w:r>
            <w:proofErr w:type="gramEnd"/>
          </w:p>
        </w:tc>
      </w:tr>
    </w:tbl>
    <w:p w:rsidR="00E1429B" w:rsidRPr="00697F55" w:rsidRDefault="00E1429B">
      <w:pPr>
        <w:pStyle w:val="a9"/>
        <w:spacing w:after="0" w:line="240" w:lineRule="auto"/>
        <w:ind w:left="785" w:right="221"/>
        <w:jc w:val="both"/>
        <w:rPr>
          <w:rFonts w:ascii="Proxima Nova ExCn Rg" w:eastAsia="Times New Roman" w:hAnsi="Proxima Nova ExCn Rg"/>
          <w:sz w:val="28"/>
          <w:szCs w:val="28"/>
        </w:rPr>
      </w:pPr>
    </w:p>
    <w:sectPr w:rsidR="00E1429B" w:rsidRPr="00697F55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536"/>
    <w:multiLevelType w:val="multilevel"/>
    <w:tmpl w:val="0E66B9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2160"/>
      </w:pPr>
      <w:rPr>
        <w:rFonts w:hint="default"/>
      </w:rPr>
    </w:lvl>
  </w:abstractNum>
  <w:abstractNum w:abstractNumId="1">
    <w:nsid w:val="0F6255DF"/>
    <w:multiLevelType w:val="multilevel"/>
    <w:tmpl w:val="FE8CD6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">
    <w:nsid w:val="127E0E1E"/>
    <w:multiLevelType w:val="multilevel"/>
    <w:tmpl w:val="AE8813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98227F"/>
    <w:multiLevelType w:val="multilevel"/>
    <w:tmpl w:val="259643B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2AEA141B"/>
    <w:multiLevelType w:val="multilevel"/>
    <w:tmpl w:val="0246AE88"/>
    <w:lvl w:ilvl="0">
      <w:start w:val="1"/>
      <w:numFmt w:val="decimal"/>
      <w:lvlText w:val="%1."/>
      <w:lvlJc w:val="left"/>
      <w:pPr>
        <w:ind w:left="1440" w:hanging="360"/>
      </w:pPr>
      <w:rPr>
        <w:rFonts w:ascii="Proxima Nova ExCn Rg" w:hAnsi="Proxima Nova ExCn Rg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88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eastAsia="Times New Roman"/>
      </w:rPr>
    </w:lvl>
  </w:abstractNum>
  <w:abstractNum w:abstractNumId="5">
    <w:nsid w:val="50907166"/>
    <w:multiLevelType w:val="multilevel"/>
    <w:tmpl w:val="0E66B9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2160"/>
      </w:pPr>
      <w:rPr>
        <w:rFonts w:hint="default"/>
      </w:rPr>
    </w:lvl>
  </w:abstractNum>
  <w:abstractNum w:abstractNumId="6">
    <w:nsid w:val="59A54F64"/>
    <w:multiLevelType w:val="multilevel"/>
    <w:tmpl w:val="E12A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5FA503B4"/>
    <w:multiLevelType w:val="multilevel"/>
    <w:tmpl w:val="9320984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E0DEB"/>
    <w:multiLevelType w:val="multilevel"/>
    <w:tmpl w:val="610A2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9">
    <w:nsid w:val="732069B7"/>
    <w:multiLevelType w:val="multilevel"/>
    <w:tmpl w:val="9DB6E6B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9B"/>
    <w:rsid w:val="004C42A9"/>
    <w:rsid w:val="00697F55"/>
    <w:rsid w:val="00E1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3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A4003C"/>
    <w:pPr>
      <w:keepNext/>
      <w:spacing w:before="240" w:after="60" w:line="360" w:lineRule="auto"/>
      <w:ind w:firstLine="709"/>
      <w:jc w:val="center"/>
      <w:textAlignment w:val="baseline"/>
      <w:outlineLvl w:val="0"/>
    </w:pPr>
    <w:rPr>
      <w:rFonts w:ascii="Arial" w:eastAsia="MS Mincho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4003C"/>
    <w:rPr>
      <w:rFonts w:ascii="Arial" w:eastAsia="MS Mincho" w:hAnsi="Arial" w:cs="Arial"/>
      <w:b/>
      <w:bCs/>
      <w:sz w:val="32"/>
      <w:szCs w:val="32"/>
      <w:lang w:eastAsia="ru-RU"/>
    </w:rPr>
  </w:style>
  <w:style w:type="character" w:customStyle="1" w:styleId="a3">
    <w:name w:val="Абзац списка Знак"/>
    <w:uiPriority w:val="99"/>
    <w:qFormat/>
    <w:locked/>
    <w:rsid w:val="00A4003C"/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/>
      <w:b w:val="0"/>
      <w:i w:val="0"/>
      <w:sz w:val="28"/>
      <w:szCs w:val="28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ascii="Proxima Nova ExCn Rg" w:hAnsi="Proxima Nova ExCn Rg"/>
      <w:b/>
      <w:i w:val="0"/>
      <w:sz w:val="28"/>
    </w:rPr>
  </w:style>
  <w:style w:type="character" w:customStyle="1" w:styleId="ListLabel11">
    <w:name w:val="ListLabel 11"/>
    <w:qFormat/>
    <w:rPr>
      <w:rFonts w:eastAsia="Times New Roman"/>
      <w:b w:val="0"/>
      <w:i w:val="0"/>
      <w:sz w:val="28"/>
      <w:szCs w:val="28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 w:val="0"/>
      <w:i w:val="0"/>
      <w:sz w:val="28"/>
      <w:szCs w:val="28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Pr>
      <w:rFonts w:ascii="Times New Roman" w:hAnsi="Times New Roman" w:cs="Times New Roman"/>
      <w:b/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99"/>
    <w:qFormat/>
    <w:rsid w:val="00A4003C"/>
    <w:pPr>
      <w:spacing w:after="200" w:line="276" w:lineRule="auto"/>
      <w:ind w:left="720"/>
    </w:pPr>
    <w:rPr>
      <w:rFonts w:ascii="Calibri" w:eastAsia="MS Mincho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3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A4003C"/>
    <w:pPr>
      <w:keepNext/>
      <w:spacing w:before="240" w:after="60" w:line="360" w:lineRule="auto"/>
      <w:ind w:firstLine="709"/>
      <w:jc w:val="center"/>
      <w:textAlignment w:val="baseline"/>
      <w:outlineLvl w:val="0"/>
    </w:pPr>
    <w:rPr>
      <w:rFonts w:ascii="Arial" w:eastAsia="MS Mincho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4003C"/>
    <w:rPr>
      <w:rFonts w:ascii="Arial" w:eastAsia="MS Mincho" w:hAnsi="Arial" w:cs="Arial"/>
      <w:b/>
      <w:bCs/>
      <w:sz w:val="32"/>
      <w:szCs w:val="32"/>
      <w:lang w:eastAsia="ru-RU"/>
    </w:rPr>
  </w:style>
  <w:style w:type="character" w:customStyle="1" w:styleId="a3">
    <w:name w:val="Абзац списка Знак"/>
    <w:uiPriority w:val="99"/>
    <w:qFormat/>
    <w:locked/>
    <w:rsid w:val="00A4003C"/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/>
      <w:b w:val="0"/>
      <w:i w:val="0"/>
      <w:sz w:val="28"/>
      <w:szCs w:val="28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ascii="Proxima Nova ExCn Rg" w:hAnsi="Proxima Nova ExCn Rg"/>
      <w:b/>
      <w:i w:val="0"/>
      <w:sz w:val="28"/>
    </w:rPr>
  </w:style>
  <w:style w:type="character" w:customStyle="1" w:styleId="ListLabel11">
    <w:name w:val="ListLabel 11"/>
    <w:qFormat/>
    <w:rPr>
      <w:rFonts w:eastAsia="Times New Roman"/>
      <w:b w:val="0"/>
      <w:i w:val="0"/>
      <w:sz w:val="28"/>
      <w:szCs w:val="28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 w:val="0"/>
      <w:i w:val="0"/>
      <w:sz w:val="28"/>
      <w:szCs w:val="28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Pr>
      <w:rFonts w:ascii="Times New Roman" w:hAnsi="Times New Roman" w:cs="Times New Roman"/>
      <w:b/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99"/>
    <w:qFormat/>
    <w:rsid w:val="00A4003C"/>
    <w:pPr>
      <w:spacing w:after="200" w:line="276" w:lineRule="auto"/>
      <w:ind w:left="720"/>
    </w:pPr>
    <w:rPr>
      <w:rFonts w:ascii="Calibri" w:eastAsia="MS Mincho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M. Gabidulina</dc:creator>
  <cp:lastModifiedBy>Svetlana M. Gabidulina</cp:lastModifiedBy>
  <cp:revision>3</cp:revision>
  <dcterms:created xsi:type="dcterms:W3CDTF">2016-03-02T15:18:00Z</dcterms:created>
  <dcterms:modified xsi:type="dcterms:W3CDTF">2016-03-02T15:21:00Z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